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2135"/>
        </w:tabs>
        <w:spacing w:before="0" w:beforeAutospacing="0" w:after="315" w:afterAutospacing="0" w:line="324" w:lineRule="atLeast"/>
        <w:ind w:left="0" w:right="0" w:firstLine="0"/>
        <w:jc w:val="left"/>
        <w:textAlignment w:val="baseline"/>
        <w:rPr>
          <w:rStyle w:val="4"/>
          <w:rFonts w:hint="eastAsia" w:ascii="Verdana" w:hAnsi="Verdana" w:cs="Verdana" w:eastAsiaTheme="minorEastAsia"/>
          <w:b/>
          <w:i w:val="0"/>
          <w:caps w:val="0"/>
          <w:color w:val="666666"/>
          <w:spacing w:val="0"/>
          <w:sz w:val="18"/>
          <w:szCs w:val="18"/>
          <w:bdr w:val="none" w:color="auto" w:sz="0" w:space="0"/>
          <w:vertAlign w:val="baseline"/>
          <w:lang w:eastAsia="zh-CN"/>
        </w:rPr>
      </w:pPr>
      <w:r>
        <w:rPr>
          <w:rStyle w:val="4"/>
          <w:rFonts w:hint="eastAsia" w:ascii="Verdana" w:hAnsi="Verdana" w:cs="Verdana"/>
          <w:b/>
          <w:i w:val="0"/>
          <w:caps w:val="0"/>
          <w:color w:val="666666"/>
          <w:spacing w:val="0"/>
          <w:sz w:val="18"/>
          <w:szCs w:val="18"/>
          <w:bdr w:val="none" w:color="auto" w:sz="0" w:space="0"/>
          <w:vertAlign w:val="baseline"/>
          <w:lang w:eastAsia="zh-CN"/>
        </w:rPr>
        <w:tab/>
      </w:r>
      <w:bookmarkStart w:id="0" w:name="_GoBack"/>
      <w:r>
        <w:rPr>
          <w:rStyle w:val="4"/>
          <w:rFonts w:hint="eastAsia" w:ascii="Verdana" w:hAnsi="Verdana" w:cs="Verdana"/>
          <w:b/>
          <w:bCs w:val="0"/>
          <w:i w:val="0"/>
          <w:caps w:val="0"/>
          <w:color w:val="666666"/>
          <w:spacing w:val="0"/>
          <w:sz w:val="32"/>
          <w:szCs w:val="32"/>
          <w:bdr w:val="none" w:color="auto" w:sz="0" w:space="0"/>
          <w:vertAlign w:val="baseline"/>
          <w:lang w:val="en-US" w:eastAsia="zh-CN"/>
        </w:rPr>
        <w:t xml:space="preserve"> </w:t>
      </w:r>
      <w:r>
        <w:rPr>
          <w:rFonts w:hint="default" w:ascii="Verdana" w:hAnsi="Verdana" w:cs="Verdana"/>
          <w:b/>
          <w:bCs w:val="0"/>
          <w:i w:val="0"/>
          <w:caps w:val="0"/>
          <w:color w:val="666666"/>
          <w:spacing w:val="0"/>
          <w:sz w:val="32"/>
          <w:szCs w:val="32"/>
          <w:vertAlign w:val="baseline"/>
        </w:rPr>
        <w:t>YS3020</w:t>
      </w:r>
      <w:r>
        <w:rPr>
          <w:rFonts w:hint="eastAsia" w:ascii="Verdana" w:hAnsi="Verdana" w:cs="Verdana"/>
          <w:b/>
          <w:bCs w:val="0"/>
          <w:i w:val="0"/>
          <w:caps w:val="0"/>
          <w:color w:val="666666"/>
          <w:spacing w:val="0"/>
          <w:sz w:val="32"/>
          <w:szCs w:val="32"/>
          <w:vertAlign w:val="baseline"/>
          <w:lang w:val="en-US" w:eastAsia="zh-CN"/>
        </w:rPr>
        <w:t>高精度分光色差仪</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default" w:ascii="Verdana" w:hAnsi="Verdana" w:cs="Verdana"/>
          <w:b/>
          <w:i w:val="0"/>
          <w:caps w:val="0"/>
          <w:color w:val="666666"/>
          <w:spacing w:val="0"/>
          <w:sz w:val="18"/>
          <w:szCs w:val="18"/>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3nh光栅分光测色仪，完美颜色测量伴侣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YS3020是三恩时公司独立开发的完全拥有自主知识产权的国产光栅分光测色仪，仪器稳定、测量颜色精准、功能强大，在便携式光栅分光测色仪领域处于领先地位。光栅分光测色仪在塑胶电子、油漆油墨、纺织服装印染、印刷纸品、汽车、医疗、化妆品和食品等行业，在科研机构、实验室领域均有广泛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在CIE推荐的D8几何光学照明条件下，光栅分光测色仪可精确测量样品/荧光样品的SCI、SCE反射率数据，在多种颜色空间下，能够对各种色差公式、颜色指数进行精准测量和表述。借助该仪器可轻松实现颜色的精确传递，也可做为精准配色系统的检测设备。该仪器在在各类产品的色差品质管控方面也有广泛的应用。仪器配有高端颜色管理软件，连接电脑使用，实现更多功能扩展。</w:t>
      </w:r>
    </w:p>
    <w:p>
      <w:pPr>
        <w:keepNext w:val="0"/>
        <w:keepLines w:val="0"/>
        <w:widowControl/>
        <w:suppressLineNumbers w:val="0"/>
        <w:spacing w:line="324" w:lineRule="atLeast"/>
        <w:ind w:left="0" w:firstLine="0"/>
        <w:jc w:val="center"/>
        <w:rPr>
          <w:rFonts w:hint="default" w:ascii="Verdana" w:hAnsi="Verdana" w:cs="Verdana"/>
          <w:b w:val="0"/>
          <w:i w:val="0"/>
          <w:caps w:val="0"/>
          <w:color w:val="666666"/>
          <w:spacing w:val="0"/>
          <w:sz w:val="18"/>
          <w:szCs w:val="18"/>
        </w:rPr>
      </w:pP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begin"/>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instrText xml:space="preserve">INCLUDEPICTURE \d "http://www.12317.com/home/upload/gpic/20170114/24d10e172a4503be8d2e5e1fa74c13a3.jpg" \* MERGEFORMATINET </w:instrText>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separate"/>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drawing>
          <wp:inline distT="0" distB="0" distL="114300" distR="114300">
            <wp:extent cx="5420360" cy="4870450"/>
            <wp:effectExtent l="0" t="0" r="8890" b="635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420360" cy="4870450"/>
                    </a:xfrm>
                    <a:prstGeom prst="rect">
                      <a:avLst/>
                    </a:prstGeom>
                    <a:noFill/>
                    <a:ln w="9525">
                      <a:noFill/>
                    </a:ln>
                  </pic:spPr>
                </pic:pic>
              </a:graphicData>
            </a:graphic>
          </wp:inline>
        </w:drawing>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end"/>
      </w:r>
    </w:p>
    <w:p>
      <w:pPr>
        <w:keepNext w:val="0"/>
        <w:keepLines w:val="0"/>
        <w:widowControl/>
        <w:suppressLineNumbers w:val="0"/>
        <w:spacing w:line="324" w:lineRule="atLeast"/>
        <w:ind w:left="0" w:firstLine="0"/>
        <w:jc w:val="center"/>
        <w:rPr>
          <w:rFonts w:hint="default" w:ascii="Verdana" w:hAnsi="Verdana" w:cs="Verdana"/>
          <w:b w:val="0"/>
          <w:i w:val="0"/>
          <w:caps w:val="0"/>
          <w:color w:val="666666"/>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default" w:ascii="Verdana" w:hAnsi="Verdana" w:cs="Verdana"/>
          <w:b/>
          <w:i w:val="0"/>
          <w:caps w:val="0"/>
          <w:color w:val="0000FF"/>
          <w:spacing w:val="0"/>
          <w:sz w:val="18"/>
          <w:szCs w:val="18"/>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0000FF"/>
          <w:spacing w:val="0"/>
          <w:sz w:val="18"/>
          <w:szCs w:val="18"/>
          <w:bdr w:val="none" w:color="auto" w:sz="0" w:space="0"/>
          <w:vertAlign w:val="baseline"/>
        </w:rPr>
        <w:t>YS3020定制测量口径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适应性更广；用于塑胶电子、油漆油墨、纺织服装印染、印刷、陶瓷等行业精确颜色测量、品质控制。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光栅分光测色仪特点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优美的外观造型与符合人力力学的结构设计完美结合；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D/8几何光学结构，符合CIE No.15，GB/T 3978,GB 2893,GB/T 18833,ISO7724/1,ASTM E1164,DIN5033 Teil7；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采用高寿命低功耗的组合LED光源，包含UV/排除UV;</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Φ 8/4mm口径任意切换，适应更多被测样品;同时测量SCI、SCE;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测量样品光谱,Lab数据精准，可用于配色和精确颜色传递;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电子硬件配置高:3.5吋TFT真彩屏,电容触摸屏,凹面光栅，256像元双阵列CMOS探测器等；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USB/蓝牙2.1双通讯模式，适应性更广；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超级耐脏、稳定的标准白板;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大容量存储空间，可存储20000条以上测试数据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两种标准观察者角度，多种光源模式，多种表色系，符合多种标准的色度指标，满足各种客户对颜色测量的需求；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摄像头取景定位;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PC端软件有功能强大的功能扩展；</w:t>
      </w:r>
    </w:p>
    <w:tbl>
      <w:tblPr>
        <w:tblStyle w:val="5"/>
        <w:tblpPr w:leftFromText="180" w:rightFromText="180" w:vertAnchor="text" w:horzAnchor="page" w:tblpX="1795" w:tblpY="624"/>
        <w:tblOverlap w:val="never"/>
        <w:tblW w:w="83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62"/>
        <w:gridCol w:w="7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产品型号</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YS3020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照明方式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D/8（漫射照明，8°方向接收）;</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SCI/SCE测量;排除UV测量；</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符合标准CIE No.15，GB/T 3978,GB 2893,GB/T 18833,ISO7724/1,ASTM E1164,DIN5033 Teil7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特性</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定制测量口径，适应性更广；用于塑胶电子、油漆油墨、纺织服装印染、印刷、陶瓷等行业精确颜色测量和品质控制。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积分球尺寸</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Φ48mm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照明光源</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组合LED光源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分光方式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凹面光栅分光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感应器</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256像元双阵列CMOS图像感应器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测量波长范围</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400~700nm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波长间隔</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10nm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半带宽</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10nm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反射率测定范围</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测量口径</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定制单一口径：MAV:Φ8mm/Φ10mm；SAV:Φ4mm/Φ5mm；1x3mm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含光方式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同时测试SCI/SCE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颜色空间</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CIE LAB,XYZ,Yxy,LCh,CIE LUV,HunterLAB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色差公式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ΔE*ab,ΔE*uv,ΔE*94,ΔE*cmc(2:1),ΔE*cmc(1:1),ΔE*00,ΔE（Hunter）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其它色度指标</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WI(ASTM E313，CIE/ISO,AATCC,Hunter)，</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YI(ASTM D1925，ASTM 313),</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TI(ASTM E313，CIE/ISO),</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同色异谱指数MI，</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粘色牢度,变色牢度,力份,遮盖度，8度光泽度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观察者角度</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观测光源</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A,C,D50,D55,D65,D75,F1,F2,F3,F4,F5,F6,F7,F8,F9,F10,F11,F12,TL83,TL84,U30,CWF，U35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显示</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光谱图/数据，样品色度值，色差值/图，合格/不合格结果，颜色偏向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测量时间</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约1.0s（同时测试SCI/SCE 约2.6s）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重复性</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分光反射率：MAV/SCI,标准偏差0.1%以内（400~700nm：0.2%以内）：</w:t>
            </w:r>
            <w:r>
              <w:rPr>
                <w:rFonts w:hint="default" w:ascii="Verdana" w:hAnsi="Verdana" w:eastAsia="宋体" w:cs="Verdana"/>
                <w:b/>
                <w:bCs/>
                <w:i w:val="0"/>
                <w:caps w:val="0"/>
                <w:color w:val="666666"/>
                <w:spacing w:val="0"/>
                <w:kern w:val="0"/>
                <w:sz w:val="18"/>
                <w:szCs w:val="18"/>
                <w:lang w:val="en-US" w:eastAsia="zh-CN" w:bidi="ar"/>
              </w:rPr>
              <w:br w:type="textWrapping"/>
            </w:r>
            <w:r>
              <w:rPr>
                <w:rFonts w:hint="default" w:ascii="Verdana" w:hAnsi="Verdana" w:eastAsia="宋体" w:cs="Verdana"/>
                <w:b/>
                <w:bCs/>
                <w:i w:val="0"/>
                <w:caps w:val="0"/>
                <w:color w:val="666666"/>
                <w:spacing w:val="0"/>
                <w:kern w:val="0"/>
                <w:sz w:val="18"/>
                <w:szCs w:val="18"/>
                <w:lang w:val="en-US" w:eastAsia="zh-CN" w:bidi="ar"/>
              </w:rPr>
              <w:t>色度值：MAV/SCI,ΔE*ab 0.04以内（校正后,以间隔5s测量白板30次平均值）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台间差</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MAV/SCI,ΔE*ab 0.2以内（BCRA系列Ⅱ 12块色板测量平均值）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测量方式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单次测量，平均测量（2~99次）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定位方式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显示屏摄像头取景定位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尺寸</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长X宽X高=184X77X105mm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重量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约600g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电池电量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锂电池，8小时内5000次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照明光源寿命</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5年大于300万次测量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显示屏</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TFT 真彩 3.5inch，电容触摸屏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接口</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USB/RS-232，蓝牙®4.0双模（兼容2.1）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存储数据</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标样1000条，试样20000条（一条数据可同时包括SCI/SCE）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语言</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简体中文，English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操作温度范围</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0~40℃，0~85%RH（无凝露），海拔：低于2000m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存储温度范围</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 -20~50℃，0~85%RH（无凝露）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标准附件</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电源适配器、数据线、内置锂电池、说明书、光盘（内含管理软件）、黑白校正盒、保护盖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可选附件</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微型打印机、粉末测试盒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2"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注：</w:t>
            </w:r>
          </w:p>
        </w:tc>
        <w:tc>
          <w:tcPr>
            <w:tcW w:w="7343" w:type="dxa"/>
            <w:tcBorders>
              <w:top w:val="nil"/>
              <w:left w:val="nil"/>
              <w:bottom w:val="nil"/>
              <w:right w:val="nil"/>
            </w:tcBorders>
            <w:shd w:val="clear" w:color="auto" w:fill="auto"/>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lang w:val="en-US" w:eastAsia="zh-CN" w:bidi="ar"/>
              </w:rPr>
              <w:t>技术参数仅为参考，以实际销售产品为准</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光栅分光测色仪技术参数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9E4E"/>
    <w:multiLevelType w:val="multilevel"/>
    <w:tmpl w:val="58FD9E4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6643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sales</dc:creator>
  <cp:lastModifiedBy>sales</cp:lastModifiedBy>
  <dcterms:modified xsi:type="dcterms:W3CDTF">2017-04-24T06:42:34Z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